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CA7" w:rsidRDefault="000E4CA7" w:rsidP="000E4CA7">
      <w:pPr>
        <w:pStyle w:val="Titre"/>
        <w:jc w:val="center"/>
      </w:pPr>
      <w:r>
        <w:t>L’Afghanistan et l’émigration</w:t>
      </w:r>
    </w:p>
    <w:p w:rsidR="00A83690" w:rsidRDefault="000E4CA7" w:rsidP="000E4CA7">
      <w:pPr>
        <w:pStyle w:val="Titre3"/>
      </w:pPr>
      <w:r>
        <w:t xml:space="preserve">Dans ce chapitre, Wali regrette que tant d’Afghans quittent leur patrie et que celui-ci perde donc des gens intelligents et diplômés. C’est un sujet </w:t>
      </w:r>
      <w:r w:rsidR="00A37AC4">
        <w:t xml:space="preserve">important pour l’Afghanistan, </w:t>
      </w:r>
      <w:r>
        <w:t xml:space="preserve">sur lequel il faut s’informer davantage pour mieux le comprendre. </w:t>
      </w:r>
    </w:p>
    <w:p w:rsidR="00BE68EC" w:rsidRPr="00184DB9" w:rsidRDefault="00184DB9" w:rsidP="00184DB9">
      <w:pPr>
        <w:pStyle w:val="NormalWeb"/>
        <w:rPr>
          <w:rFonts w:asciiTheme="majorHAnsi" w:hAnsiTheme="majorHAnsi"/>
        </w:rPr>
      </w:pPr>
      <w:bookmarkStart w:id="0" w:name="i_59257"/>
      <w:bookmarkEnd w:id="0"/>
      <w:r w:rsidRPr="00184DB9">
        <w:rPr>
          <w:rFonts w:asciiTheme="majorHAnsi" w:hAnsiTheme="majorHAnsi"/>
        </w:rPr>
        <w:t>Comme les Afghan</w:t>
      </w:r>
      <w:r w:rsidR="00A37AC4">
        <w:rPr>
          <w:rFonts w:asciiTheme="majorHAnsi" w:hAnsiTheme="majorHAnsi"/>
        </w:rPr>
        <w:t>s</w:t>
      </w:r>
      <w:r w:rsidRPr="00184DB9">
        <w:rPr>
          <w:rFonts w:asciiTheme="majorHAnsi" w:hAnsiTheme="majorHAnsi"/>
        </w:rPr>
        <w:t xml:space="preserve"> ont</w:t>
      </w:r>
      <w:r w:rsidR="00BE68EC" w:rsidRPr="00184DB9">
        <w:rPr>
          <w:rFonts w:asciiTheme="majorHAnsi" w:hAnsiTheme="majorHAnsi"/>
        </w:rPr>
        <w:t xml:space="preserve"> connu </w:t>
      </w:r>
      <w:r w:rsidR="00BE68EC" w:rsidRPr="00184DB9">
        <w:rPr>
          <w:rFonts w:asciiTheme="majorHAnsi" w:hAnsiTheme="majorHAnsi"/>
          <w:b/>
        </w:rPr>
        <w:t>vingt-cinq années de guerre et d’insécurité</w:t>
      </w:r>
      <w:r w:rsidR="006D77F6">
        <w:rPr>
          <w:rFonts w:asciiTheme="majorHAnsi" w:hAnsiTheme="majorHAnsi"/>
        </w:rPr>
        <w:t xml:space="preserve"> </w:t>
      </w:r>
      <w:r w:rsidR="006D77F6" w:rsidRPr="006D77F6">
        <w:rPr>
          <w:rFonts w:asciiTheme="majorHAnsi" w:hAnsiTheme="majorHAnsi"/>
          <w:b/>
        </w:rPr>
        <w:t>à partir des années 80</w:t>
      </w:r>
      <w:r w:rsidR="006D77F6">
        <w:rPr>
          <w:rFonts w:asciiTheme="majorHAnsi" w:hAnsiTheme="majorHAnsi"/>
        </w:rPr>
        <w:t>,</w:t>
      </w:r>
      <w:r w:rsidRPr="00184DB9">
        <w:rPr>
          <w:rFonts w:asciiTheme="majorHAnsi" w:hAnsiTheme="majorHAnsi"/>
          <w:b/>
        </w:rPr>
        <w:t xml:space="preserve"> </w:t>
      </w:r>
      <w:r w:rsidR="00BE68EC" w:rsidRPr="00184DB9">
        <w:rPr>
          <w:rFonts w:asciiTheme="majorHAnsi" w:hAnsiTheme="majorHAnsi"/>
          <w:b/>
        </w:rPr>
        <w:t>un tiers au moins de la population totale</w:t>
      </w:r>
      <w:r w:rsidRPr="00184DB9">
        <w:rPr>
          <w:rFonts w:asciiTheme="majorHAnsi" w:hAnsiTheme="majorHAnsi"/>
        </w:rPr>
        <w:t xml:space="preserve"> est parti</w:t>
      </w:r>
      <w:r w:rsidR="00BE68EC" w:rsidRPr="00184DB9">
        <w:rPr>
          <w:rFonts w:asciiTheme="majorHAnsi" w:hAnsiTheme="majorHAnsi"/>
        </w:rPr>
        <w:t xml:space="preserve">, avec des phases marquées par des </w:t>
      </w:r>
      <w:r w:rsidR="00BE68EC" w:rsidRPr="00184DB9">
        <w:rPr>
          <w:rFonts w:asciiTheme="majorHAnsi" w:hAnsiTheme="majorHAnsi"/>
          <w:b/>
        </w:rPr>
        <w:t>retours partiels</w:t>
      </w:r>
      <w:r w:rsidR="00BE68EC" w:rsidRPr="00184DB9">
        <w:rPr>
          <w:rFonts w:asciiTheme="majorHAnsi" w:hAnsiTheme="majorHAnsi"/>
        </w:rPr>
        <w:t xml:space="preserve"> mais pas toujours définitifs. Le déracinement est ainsi devenu une des </w:t>
      </w:r>
      <w:r w:rsidRPr="00184DB9">
        <w:rPr>
          <w:rFonts w:asciiTheme="majorHAnsi" w:hAnsiTheme="majorHAnsi"/>
        </w:rPr>
        <w:t>caractéristiques</w:t>
      </w:r>
      <w:r w:rsidR="00BE68EC" w:rsidRPr="00184DB9">
        <w:rPr>
          <w:rFonts w:asciiTheme="majorHAnsi" w:hAnsiTheme="majorHAnsi"/>
        </w:rPr>
        <w:t xml:space="preserve"> les plus </w:t>
      </w:r>
      <w:r w:rsidRPr="00184DB9">
        <w:rPr>
          <w:rFonts w:asciiTheme="majorHAnsi" w:hAnsiTheme="majorHAnsi"/>
        </w:rPr>
        <w:t xml:space="preserve">importantes de la population afghane. Si beaucoup d’Afghans vivent </w:t>
      </w:r>
      <w:r w:rsidR="00BE68EC" w:rsidRPr="00184DB9">
        <w:rPr>
          <w:rFonts w:asciiTheme="majorHAnsi" w:hAnsiTheme="majorHAnsi"/>
        </w:rPr>
        <w:t xml:space="preserve"> </w:t>
      </w:r>
      <w:r w:rsidRPr="00184DB9">
        <w:rPr>
          <w:rFonts w:asciiTheme="majorHAnsi" w:hAnsiTheme="majorHAnsi"/>
        </w:rPr>
        <w:t xml:space="preserve">en </w:t>
      </w:r>
      <w:r w:rsidR="00BE68EC" w:rsidRPr="00231DC8">
        <w:rPr>
          <w:rFonts w:asciiTheme="majorHAnsi" w:hAnsiTheme="majorHAnsi"/>
          <w:b/>
        </w:rPr>
        <w:t>Europe occidenta</w:t>
      </w:r>
      <w:r w:rsidRPr="00231DC8">
        <w:rPr>
          <w:rFonts w:asciiTheme="majorHAnsi" w:hAnsiTheme="majorHAnsi"/>
          <w:b/>
        </w:rPr>
        <w:t>le, Amérique du Nord ou Australie</w:t>
      </w:r>
      <w:r w:rsidR="00BE68EC" w:rsidRPr="00184DB9">
        <w:rPr>
          <w:rFonts w:asciiTheme="majorHAnsi" w:hAnsiTheme="majorHAnsi"/>
        </w:rPr>
        <w:t>, le gros de l'émigration s'est</w:t>
      </w:r>
      <w:r w:rsidR="00231DC8">
        <w:rPr>
          <w:rFonts w:asciiTheme="majorHAnsi" w:hAnsiTheme="majorHAnsi"/>
        </w:rPr>
        <w:t xml:space="preserve"> </w:t>
      </w:r>
      <w:r w:rsidR="00BE68EC" w:rsidRPr="00184DB9">
        <w:rPr>
          <w:rFonts w:asciiTheme="majorHAnsi" w:hAnsiTheme="majorHAnsi"/>
        </w:rPr>
        <w:t xml:space="preserve"> dirigé préférentiellement vers les </w:t>
      </w:r>
      <w:r w:rsidR="00BE68EC" w:rsidRPr="00184DB9">
        <w:rPr>
          <w:rFonts w:asciiTheme="majorHAnsi" w:hAnsiTheme="majorHAnsi"/>
          <w:b/>
        </w:rPr>
        <w:t xml:space="preserve">pays </w:t>
      </w:r>
      <w:r w:rsidRPr="00184DB9">
        <w:rPr>
          <w:rFonts w:asciiTheme="majorHAnsi" w:hAnsiTheme="majorHAnsi"/>
          <w:b/>
        </w:rPr>
        <w:t>frontaliers</w:t>
      </w:r>
      <w:r w:rsidRPr="00184DB9">
        <w:rPr>
          <w:rFonts w:asciiTheme="majorHAnsi" w:hAnsiTheme="majorHAnsi"/>
        </w:rPr>
        <w:t xml:space="preserve"> qui partagent une culture comparable</w:t>
      </w:r>
      <w:r w:rsidR="00BE68EC" w:rsidRPr="00184DB9">
        <w:rPr>
          <w:rFonts w:asciiTheme="majorHAnsi" w:hAnsiTheme="majorHAnsi"/>
        </w:rPr>
        <w:t> :</w:t>
      </w:r>
      <w:bookmarkStart w:id="1" w:name="i_21568"/>
      <w:r w:rsidR="00BE68EC" w:rsidRPr="00184DB9">
        <w:rPr>
          <w:rFonts w:asciiTheme="majorHAnsi" w:hAnsiTheme="majorHAnsi"/>
        </w:rPr>
        <w:t xml:space="preserve"> </w:t>
      </w:r>
      <w:bookmarkEnd w:id="1"/>
      <w:r w:rsidR="00BE68EC" w:rsidRPr="00231DC8">
        <w:rPr>
          <w:rFonts w:asciiTheme="majorHAnsi" w:hAnsiTheme="majorHAnsi"/>
          <w:b/>
        </w:rPr>
        <w:t>l'Iran</w:t>
      </w:r>
      <w:r w:rsidR="00BE68EC" w:rsidRPr="00184DB9">
        <w:rPr>
          <w:rFonts w:asciiTheme="majorHAnsi" w:hAnsiTheme="majorHAnsi"/>
        </w:rPr>
        <w:t xml:space="preserve"> a accueilli jus</w:t>
      </w:r>
      <w:r w:rsidR="00A37AC4">
        <w:rPr>
          <w:rFonts w:asciiTheme="majorHAnsi" w:hAnsiTheme="majorHAnsi"/>
        </w:rPr>
        <w:t>qu'à trois millions de réfugiés</w:t>
      </w:r>
      <w:r w:rsidR="00BE68EC" w:rsidRPr="00184DB9">
        <w:rPr>
          <w:rFonts w:asciiTheme="majorHAnsi" w:hAnsiTheme="majorHAnsi"/>
        </w:rPr>
        <w:t xml:space="preserve"> et le </w:t>
      </w:r>
      <w:r w:rsidR="00BE68EC" w:rsidRPr="00231DC8">
        <w:rPr>
          <w:rFonts w:asciiTheme="majorHAnsi" w:hAnsiTheme="majorHAnsi"/>
          <w:b/>
        </w:rPr>
        <w:t>Pakistan</w:t>
      </w:r>
      <w:r w:rsidR="00BE68EC" w:rsidRPr="00184DB9">
        <w:rPr>
          <w:rFonts w:asciiTheme="majorHAnsi" w:hAnsiTheme="majorHAnsi"/>
        </w:rPr>
        <w:t xml:space="preserve"> cinq autres millions ; de 2002 à 2006,</w:t>
      </w:r>
      <w:bookmarkStart w:id="2" w:name="i_96761"/>
      <w:r w:rsidR="00BE68EC" w:rsidRPr="00184DB9">
        <w:rPr>
          <w:rFonts w:asciiTheme="majorHAnsi" w:hAnsiTheme="majorHAnsi"/>
        </w:rPr>
        <w:t xml:space="preserve"> </w:t>
      </w:r>
      <w:bookmarkEnd w:id="2"/>
      <w:r w:rsidR="00231DC8">
        <w:rPr>
          <w:rFonts w:asciiTheme="majorHAnsi" w:hAnsiTheme="majorHAnsi"/>
        </w:rPr>
        <w:t xml:space="preserve">un  </w:t>
      </w:r>
      <w:r w:rsidR="00BE68EC" w:rsidRPr="00184DB9">
        <w:rPr>
          <w:rFonts w:asciiTheme="majorHAnsi" w:hAnsiTheme="majorHAnsi"/>
        </w:rPr>
        <w:t xml:space="preserve">programme de rapatriement et d'aide à la réinsertion a été mis en œuvre sous l'égide du Haut-Commissariat des Nations unies pour les réfugiés (H.C.R.), aboutissant au </w:t>
      </w:r>
      <w:r w:rsidR="00BE68EC" w:rsidRPr="00231DC8">
        <w:rPr>
          <w:rFonts w:asciiTheme="majorHAnsi" w:hAnsiTheme="majorHAnsi"/>
          <w:b/>
        </w:rPr>
        <w:t>retour de plus de 4 millions de personnes</w:t>
      </w:r>
      <w:r w:rsidR="00BE68EC" w:rsidRPr="00184DB9">
        <w:rPr>
          <w:rFonts w:asciiTheme="majorHAnsi" w:hAnsiTheme="majorHAnsi"/>
        </w:rPr>
        <w:t xml:space="preserve"> (2,8 du Pakistan et 1,4 d'Iran). Il resterait toutefois </w:t>
      </w:r>
      <w:r w:rsidR="00BE68EC" w:rsidRPr="00231DC8">
        <w:rPr>
          <w:rFonts w:asciiTheme="majorHAnsi" w:hAnsiTheme="majorHAnsi"/>
          <w:b/>
        </w:rPr>
        <w:t>encore plus d'un million de réfugiés en Iran et 2,5 au Pakistan</w:t>
      </w:r>
      <w:r w:rsidR="00BE68EC" w:rsidRPr="00184DB9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>qui resteront probablement</w:t>
      </w:r>
      <w:r w:rsidR="00BE68EC" w:rsidRPr="00184DB9">
        <w:rPr>
          <w:rFonts w:asciiTheme="majorHAnsi" w:hAnsiTheme="majorHAnsi"/>
        </w:rPr>
        <w:t xml:space="preserve"> à moyen ou à plus long terme. Cette population, souvent </w:t>
      </w:r>
      <w:r w:rsidR="00BE68EC" w:rsidRPr="00231DC8">
        <w:rPr>
          <w:rFonts w:asciiTheme="majorHAnsi" w:hAnsiTheme="majorHAnsi"/>
          <w:b/>
        </w:rPr>
        <w:t>bien intégrée aux marchés du travail</w:t>
      </w:r>
      <w:r w:rsidR="00BE68EC" w:rsidRPr="00184DB9">
        <w:rPr>
          <w:rFonts w:asciiTheme="majorHAnsi" w:hAnsiTheme="majorHAnsi"/>
        </w:rPr>
        <w:t xml:space="preserve"> locaux, a </w:t>
      </w:r>
      <w:r>
        <w:rPr>
          <w:rFonts w:asciiTheme="majorHAnsi" w:hAnsiTheme="majorHAnsi"/>
        </w:rPr>
        <w:t>gardé</w:t>
      </w:r>
      <w:r w:rsidR="00BE68EC" w:rsidRPr="00184DB9">
        <w:rPr>
          <w:rFonts w:asciiTheme="majorHAnsi" w:hAnsiTheme="majorHAnsi"/>
        </w:rPr>
        <w:t xml:space="preserve"> des </w:t>
      </w:r>
      <w:r w:rsidR="00BE68EC" w:rsidRPr="00231DC8">
        <w:rPr>
          <w:rFonts w:asciiTheme="majorHAnsi" w:hAnsiTheme="majorHAnsi"/>
          <w:b/>
        </w:rPr>
        <w:t xml:space="preserve">liens étroits avec </w:t>
      </w:r>
      <w:r w:rsidRPr="00231DC8">
        <w:rPr>
          <w:rFonts w:asciiTheme="majorHAnsi" w:hAnsiTheme="majorHAnsi"/>
          <w:b/>
        </w:rPr>
        <w:t>l’Afghanistan</w:t>
      </w:r>
      <w:r>
        <w:rPr>
          <w:rFonts w:asciiTheme="majorHAnsi" w:hAnsiTheme="majorHAnsi"/>
        </w:rPr>
        <w:t> à travers des</w:t>
      </w:r>
      <w:r w:rsidR="00BE68EC" w:rsidRPr="00184DB9">
        <w:rPr>
          <w:rFonts w:asciiTheme="majorHAnsi" w:hAnsiTheme="majorHAnsi"/>
        </w:rPr>
        <w:t xml:space="preserve"> retours périodiques, </w:t>
      </w:r>
      <w:r>
        <w:rPr>
          <w:rFonts w:asciiTheme="majorHAnsi" w:hAnsiTheme="majorHAnsi"/>
        </w:rPr>
        <w:t>des mariages</w:t>
      </w:r>
      <w:r w:rsidR="00BE68EC" w:rsidRPr="00184DB9">
        <w:rPr>
          <w:rFonts w:asciiTheme="majorHAnsi" w:hAnsiTheme="majorHAnsi"/>
        </w:rPr>
        <w:t xml:space="preserve"> et </w:t>
      </w:r>
      <w:r>
        <w:rPr>
          <w:rFonts w:asciiTheme="majorHAnsi" w:hAnsiTheme="majorHAnsi"/>
        </w:rPr>
        <w:t xml:space="preserve">des </w:t>
      </w:r>
      <w:r w:rsidR="00BE68EC" w:rsidRPr="00184DB9">
        <w:rPr>
          <w:rFonts w:asciiTheme="majorHAnsi" w:hAnsiTheme="majorHAnsi"/>
        </w:rPr>
        <w:t>transferts massifs d'argent (sans doute entre 1 e</w:t>
      </w:r>
      <w:r>
        <w:rPr>
          <w:rFonts w:asciiTheme="majorHAnsi" w:hAnsiTheme="majorHAnsi"/>
        </w:rPr>
        <w:t>t 2 milliards de dollars par an).</w:t>
      </w:r>
    </w:p>
    <w:p w:rsidR="006D77F6" w:rsidRDefault="006D77F6" w:rsidP="006D77F6">
      <w:pPr>
        <w:keepNext/>
      </w:pPr>
      <w:r>
        <w:rPr>
          <w:noProof/>
          <w:lang w:eastAsia="fr-LU"/>
        </w:rPr>
        <w:drawing>
          <wp:inline distT="0" distB="0" distL="0" distR="0" wp14:anchorId="11CD92AA" wp14:editId="1680446C">
            <wp:extent cx="4403750" cy="2472093"/>
            <wp:effectExtent l="0" t="0" r="0" b="4445"/>
            <wp:docPr id="1" name="Image 1" descr="http://media.npr.org/assets/img/2012/11/30/afghan_exodus1_wide-e65f3326afa2de879684dd11e7e552fd962af832-s6-c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.npr.org/assets/img/2012/11/30/afghan_exodus1_wide-e65f3326afa2de879684dd11e7e552fd962af832-s6-c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548" cy="24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CA7" w:rsidRPr="00184DB9" w:rsidRDefault="006D77F6" w:rsidP="006D77F6">
      <w:pPr>
        <w:pStyle w:val="Lgende"/>
        <w:rPr>
          <w:rFonts w:asciiTheme="majorHAnsi" w:hAnsiTheme="majorHAnsi"/>
        </w:rPr>
      </w:pPr>
      <w:r>
        <w:t>Des familles afghanes quittant Kaboul sur une route poussiéreuse, en novembre 2012. Ils craignent que</w:t>
      </w:r>
      <w:r w:rsidR="00A37AC4">
        <w:t xml:space="preserve"> la situation en Afghanistan s’empire</w:t>
      </w:r>
      <w:r>
        <w:t xml:space="preserve"> après le retrait </w:t>
      </w:r>
      <w:r w:rsidR="00A81846">
        <w:t>des forces de l’OTAN</w:t>
      </w:r>
      <w:r w:rsidR="00A81846">
        <w:rPr>
          <w:rStyle w:val="Appelnotedebasdep"/>
        </w:rPr>
        <w:footnoteReference w:id="1"/>
      </w:r>
      <w:r>
        <w:t>.</w:t>
      </w:r>
    </w:p>
    <w:p w:rsidR="006D77F6" w:rsidRPr="00184DB9" w:rsidRDefault="006D77F6">
      <w:pPr>
        <w:pStyle w:val="Lgende"/>
        <w:rPr>
          <w:rFonts w:asciiTheme="majorHAnsi" w:hAnsiTheme="majorHAnsi"/>
        </w:rPr>
      </w:pPr>
      <w:bookmarkStart w:id="3" w:name="_GoBack"/>
      <w:bookmarkEnd w:id="3"/>
    </w:p>
    <w:sectPr w:rsidR="006D77F6" w:rsidRPr="00184DB9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200" w:rsidRDefault="00D57200" w:rsidP="002A5D6F">
      <w:pPr>
        <w:spacing w:after="0" w:line="240" w:lineRule="auto"/>
      </w:pPr>
      <w:r>
        <w:separator/>
      </w:r>
    </w:p>
  </w:endnote>
  <w:endnote w:type="continuationSeparator" w:id="0">
    <w:p w:rsidR="00D57200" w:rsidRDefault="00D57200" w:rsidP="002A5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6058021"/>
      <w:docPartObj>
        <w:docPartGallery w:val="Page Numbers (Bottom of Page)"/>
        <w:docPartUnique/>
      </w:docPartObj>
    </w:sdtPr>
    <w:sdtEndPr>
      <w:rPr>
        <w:rFonts w:asciiTheme="majorHAnsi" w:hAnsiTheme="majorHAnsi"/>
        <w:color w:val="808080" w:themeColor="background1" w:themeShade="80"/>
        <w:spacing w:val="60"/>
        <w:lang w:val="fr-FR"/>
      </w:rPr>
    </w:sdtEndPr>
    <w:sdtContent>
      <w:p w:rsidR="002A5D6F" w:rsidRPr="002A5D6F" w:rsidRDefault="002A5D6F">
        <w:pPr>
          <w:pStyle w:val="Pieddepage"/>
          <w:pBdr>
            <w:top w:val="single" w:sz="4" w:space="1" w:color="D9D9D9" w:themeColor="background1" w:themeShade="D9"/>
          </w:pBdr>
          <w:jc w:val="right"/>
          <w:rPr>
            <w:rFonts w:asciiTheme="majorHAnsi" w:hAnsiTheme="majorHAnsi"/>
          </w:rPr>
        </w:pPr>
        <w:r w:rsidRPr="002A5D6F">
          <w:rPr>
            <w:rFonts w:asciiTheme="majorHAnsi" w:hAnsiTheme="majorHAnsi"/>
          </w:rPr>
          <w:fldChar w:fldCharType="begin"/>
        </w:r>
        <w:r w:rsidRPr="002A5D6F">
          <w:rPr>
            <w:rFonts w:asciiTheme="majorHAnsi" w:hAnsiTheme="majorHAnsi"/>
          </w:rPr>
          <w:instrText>PAGE   \* MERGEFORMAT</w:instrText>
        </w:r>
        <w:r w:rsidRPr="002A5D6F">
          <w:rPr>
            <w:rFonts w:asciiTheme="majorHAnsi" w:hAnsiTheme="majorHAnsi"/>
          </w:rPr>
          <w:fldChar w:fldCharType="separate"/>
        </w:r>
        <w:r w:rsidR="00D57200" w:rsidRPr="00D57200">
          <w:rPr>
            <w:rFonts w:asciiTheme="majorHAnsi" w:hAnsiTheme="majorHAnsi"/>
            <w:noProof/>
            <w:lang w:val="fr-FR"/>
          </w:rPr>
          <w:t>1</w:t>
        </w:r>
        <w:r w:rsidRPr="002A5D6F">
          <w:rPr>
            <w:rFonts w:asciiTheme="majorHAnsi" w:hAnsiTheme="majorHAnsi"/>
          </w:rPr>
          <w:fldChar w:fldCharType="end"/>
        </w:r>
        <w:r w:rsidRPr="002A5D6F">
          <w:rPr>
            <w:rFonts w:asciiTheme="majorHAnsi" w:hAnsiTheme="majorHAnsi"/>
            <w:lang w:val="fr-FR"/>
          </w:rPr>
          <w:t xml:space="preserve"> | </w:t>
        </w:r>
        <w:r w:rsidRPr="002A5D6F">
          <w:rPr>
            <w:rFonts w:asciiTheme="majorHAnsi" w:hAnsiTheme="majorHAnsi"/>
            <w:color w:val="808080" w:themeColor="background1" w:themeShade="80"/>
            <w:spacing w:val="60"/>
            <w:lang w:val="fr-FR"/>
          </w:rPr>
          <w:t>Page</w:t>
        </w:r>
      </w:p>
    </w:sdtContent>
  </w:sdt>
  <w:p w:rsidR="002A5D6F" w:rsidRDefault="002A5D6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200" w:rsidRDefault="00D57200" w:rsidP="002A5D6F">
      <w:pPr>
        <w:spacing w:after="0" w:line="240" w:lineRule="auto"/>
      </w:pPr>
      <w:r>
        <w:separator/>
      </w:r>
    </w:p>
  </w:footnote>
  <w:footnote w:type="continuationSeparator" w:id="0">
    <w:p w:rsidR="00D57200" w:rsidRDefault="00D57200" w:rsidP="002A5D6F">
      <w:pPr>
        <w:spacing w:after="0" w:line="240" w:lineRule="auto"/>
      </w:pPr>
      <w:r>
        <w:continuationSeparator/>
      </w:r>
    </w:p>
  </w:footnote>
  <w:footnote w:id="1">
    <w:p w:rsidR="00A81846" w:rsidRDefault="00A81846">
      <w:pPr>
        <w:pStyle w:val="Notedebasdepage"/>
      </w:pPr>
      <w:r>
        <w:rPr>
          <w:rStyle w:val="Appelnotedebasdep"/>
        </w:rPr>
        <w:footnoteRef/>
      </w:r>
      <w:r w:rsidR="00A37AC4">
        <w:t xml:space="preserve"> L’OTAN : </w:t>
      </w:r>
      <w:r>
        <w:t>organisation</w:t>
      </w:r>
      <w:r w:rsidR="00A37AC4">
        <w:t xml:space="preserve"> du traité de l’Atlantique Nord. C’est une organisation dont beaucoup de pays occidentaux font partie et dont le but est notamment la défense contre d’éventuelles menaces.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D6F" w:rsidRDefault="002A5D6F" w:rsidP="002A5D6F">
    <w:pPr>
      <w:pStyle w:val="En-tte"/>
      <w:rPr>
        <w:rFonts w:asciiTheme="majorHAnsi" w:hAnsiTheme="majorHAnsi"/>
      </w:rPr>
    </w:pPr>
    <w:r>
      <w:rPr>
        <w:rFonts w:asciiTheme="majorHAnsi" w:hAnsiTheme="majorHAnsi"/>
        <w:noProof/>
        <w:lang w:eastAsia="fr-LU"/>
      </w:rPr>
      <w:drawing>
        <wp:anchor distT="0" distB="0" distL="114300" distR="114300" simplePos="0" relativeHeight="251658240" behindDoc="0" locked="0" layoutInCell="1" allowOverlap="1" wp14:anchorId="64355D08" wp14:editId="6E3EFA3C">
          <wp:simplePos x="0" y="0"/>
          <wp:positionH relativeFrom="column">
            <wp:posOffset>5031740</wp:posOffset>
          </wp:positionH>
          <wp:positionV relativeFrom="paragraph">
            <wp:posOffset>-333375</wp:posOffset>
          </wp:positionV>
          <wp:extent cx="1162685" cy="1162685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formation_button_glow_anim_150_clr_9897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685" cy="116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F7F1B">
      <w:rPr>
        <w:rFonts w:asciiTheme="majorHAnsi" w:hAnsiTheme="majorHAnsi"/>
      </w:rPr>
      <w:t xml:space="preserve">Wali Mohammadi, </w:t>
    </w:r>
    <w:r w:rsidRPr="006F7F1B">
      <w:rPr>
        <w:rFonts w:asciiTheme="majorHAnsi" w:hAnsiTheme="majorHAnsi"/>
        <w:i/>
      </w:rPr>
      <w:t>De Kaboul à Calais</w:t>
    </w:r>
    <w:r w:rsidRPr="006F7F1B">
      <w:rPr>
        <w:rFonts w:asciiTheme="majorHAnsi" w:hAnsiTheme="majorHAnsi"/>
      </w:rPr>
      <w:t>, Éditions J’ai lu, 2009.</w:t>
    </w:r>
    <w:r w:rsidRPr="00DC0478">
      <w:rPr>
        <w:noProof/>
        <w:lang w:eastAsia="fr-LU"/>
      </w:rPr>
      <w:t xml:space="preserve"> </w:t>
    </w:r>
  </w:p>
  <w:p w:rsidR="002A5D6F" w:rsidRDefault="002A5D6F" w:rsidP="002A5D6F">
    <w:pPr>
      <w:pStyle w:val="En-tte"/>
      <w:rPr>
        <w:rFonts w:asciiTheme="majorHAnsi" w:hAnsiTheme="majorHAnsi"/>
      </w:rPr>
    </w:pPr>
    <w:r>
      <w:rPr>
        <w:rFonts w:asciiTheme="majorHAnsi" w:hAnsiTheme="majorHAnsi"/>
      </w:rPr>
      <w:t>Fiche élaborée par Mylène Meyers</w:t>
    </w:r>
  </w:p>
  <w:p w:rsidR="002A5D6F" w:rsidRDefault="002A5D6F" w:rsidP="002A5D6F">
    <w:pPr>
      <w:pStyle w:val="Titre2"/>
    </w:pPr>
    <w:r>
      <w:t>Informations</w:t>
    </w:r>
  </w:p>
  <w:p w:rsidR="002A5D6F" w:rsidRDefault="002A5D6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CA7"/>
    <w:rsid w:val="000E4CA7"/>
    <w:rsid w:val="00184DB9"/>
    <w:rsid w:val="00231DC8"/>
    <w:rsid w:val="002A5D6F"/>
    <w:rsid w:val="00551D29"/>
    <w:rsid w:val="0061731C"/>
    <w:rsid w:val="006D77F6"/>
    <w:rsid w:val="006F0317"/>
    <w:rsid w:val="009F198E"/>
    <w:rsid w:val="00A37AC4"/>
    <w:rsid w:val="00A81846"/>
    <w:rsid w:val="00BE68EC"/>
    <w:rsid w:val="00C3281F"/>
    <w:rsid w:val="00D57200"/>
    <w:rsid w:val="00EA3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A5D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E4C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E68E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A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5D6F"/>
  </w:style>
  <w:style w:type="paragraph" w:styleId="Pieddepage">
    <w:name w:val="footer"/>
    <w:basedOn w:val="Normal"/>
    <w:link w:val="PieddepageCar"/>
    <w:uiPriority w:val="99"/>
    <w:unhideWhenUsed/>
    <w:rsid w:val="002A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5D6F"/>
  </w:style>
  <w:style w:type="character" w:customStyle="1" w:styleId="Titre2Car">
    <w:name w:val="Titre 2 Car"/>
    <w:basedOn w:val="Policepardfaut"/>
    <w:link w:val="Titre2"/>
    <w:uiPriority w:val="9"/>
    <w:rsid w:val="002A5D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5D6F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0E4CA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0E4CA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3Car">
    <w:name w:val="Titre 3 Car"/>
    <w:basedOn w:val="Policepardfaut"/>
    <w:link w:val="Titre3"/>
    <w:uiPriority w:val="9"/>
    <w:rsid w:val="000E4CA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BE68E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BE6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LU"/>
    </w:rPr>
  </w:style>
  <w:style w:type="character" w:styleId="Lienhypertexte">
    <w:name w:val="Hyperlink"/>
    <w:basedOn w:val="Policepardfaut"/>
    <w:uiPriority w:val="99"/>
    <w:semiHidden/>
    <w:unhideWhenUsed/>
    <w:rsid w:val="00BE68EC"/>
    <w:rPr>
      <w:color w:val="0000FF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6D77F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81846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81846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8184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A5D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E4C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E68E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A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5D6F"/>
  </w:style>
  <w:style w:type="paragraph" w:styleId="Pieddepage">
    <w:name w:val="footer"/>
    <w:basedOn w:val="Normal"/>
    <w:link w:val="PieddepageCar"/>
    <w:uiPriority w:val="99"/>
    <w:unhideWhenUsed/>
    <w:rsid w:val="002A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5D6F"/>
  </w:style>
  <w:style w:type="character" w:customStyle="1" w:styleId="Titre2Car">
    <w:name w:val="Titre 2 Car"/>
    <w:basedOn w:val="Policepardfaut"/>
    <w:link w:val="Titre2"/>
    <w:uiPriority w:val="9"/>
    <w:rsid w:val="002A5D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5D6F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0E4CA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0E4CA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3Car">
    <w:name w:val="Titre 3 Car"/>
    <w:basedOn w:val="Policepardfaut"/>
    <w:link w:val="Titre3"/>
    <w:uiPriority w:val="9"/>
    <w:rsid w:val="000E4CA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BE68E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BE6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LU"/>
    </w:rPr>
  </w:style>
  <w:style w:type="character" w:styleId="Lienhypertexte">
    <w:name w:val="Hyperlink"/>
    <w:basedOn w:val="Policepardfaut"/>
    <w:uiPriority w:val="99"/>
    <w:semiHidden/>
    <w:unhideWhenUsed/>
    <w:rsid w:val="00BE68EC"/>
    <w:rPr>
      <w:color w:val="0000FF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6D77F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81846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81846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8184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4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mmigration%20clandestine\Mod&#232;les%20pour%20fiches%20p&#233;dagogiques\Information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0B937-A508-41AE-9C67-8384D8D41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Informations</Template>
  <TotalTime>1</TotalTime>
  <Pages>1</Pages>
  <Words>269</Words>
  <Characters>1482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        Dans ce chapitre, Wali regrette que tant d’Afghans quittent leur patrie et que c</vt:lpstr>
    </vt:vector>
  </TitlesOfParts>
  <Company/>
  <LinksUpToDate>false</LinksUpToDate>
  <CharactersWithSpaces>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Mimy</dc:creator>
  <cp:lastModifiedBy>Mimy</cp:lastModifiedBy>
  <cp:revision>2</cp:revision>
  <cp:lastPrinted>2014-04-02T14:41:00Z</cp:lastPrinted>
  <dcterms:created xsi:type="dcterms:W3CDTF">2014-10-10T12:14:00Z</dcterms:created>
  <dcterms:modified xsi:type="dcterms:W3CDTF">2014-10-10T12:14:00Z</dcterms:modified>
</cp:coreProperties>
</file>